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/>
        <w:keepLines/>
        <w:widowControl/>
        <w:spacing w:after="0" w:line="594" w:lineRule="exact"/>
        <w:rPr>
          <w:rFonts w:ascii="方正小标宋简体" w:hAnsi="方正小标宋简体" w:eastAsia="方正小标宋简体" w:cs="方正小标宋简体"/>
          <w:color w:val="FF0000"/>
          <w:sz w:val="44"/>
          <w:szCs w:val="44"/>
          <w:lang w:val="en-US" w:eastAsia="zh-CN"/>
        </w:rPr>
      </w:pPr>
      <w:bookmarkStart w:id="0" w:name="bookmark30"/>
      <w:bookmarkStart w:id="1" w:name="bookmark32"/>
      <w:bookmarkStart w:id="2" w:name="bookmark31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bookmarkEnd w:id="0"/>
      <w:bookmarkEnd w:id="1"/>
      <w:bookmarkEnd w:id="2"/>
      <w:r>
        <w:rPr>
          <w:rStyle w:val="9"/>
          <w:rFonts w:hint="eastAsia"/>
          <w:lang w:val="en-US" w:eastAsia="zh-CN"/>
        </w:rPr>
        <w:t>气瓶充装安全</w:t>
      </w:r>
      <w:r>
        <w:rPr>
          <w:rStyle w:val="9"/>
          <w:rFonts w:hint="eastAsia"/>
          <w:lang w:eastAsia="zh-CN"/>
        </w:rPr>
        <w:t>风险防控清单</w:t>
      </w:r>
    </w:p>
    <w:tbl>
      <w:tblPr>
        <w:tblStyle w:val="6"/>
        <w:tblpPr w:leftFromText="180" w:rightFromText="180" w:vertAnchor="text" w:horzAnchor="page" w:tblpX="761" w:tblpY="364"/>
        <w:tblOverlap w:val="never"/>
        <w:tblW w:w="144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3"/>
        <w:gridCol w:w="1179"/>
        <w:gridCol w:w="3021"/>
        <w:gridCol w:w="3833"/>
        <w:gridCol w:w="5052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179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项目</w:t>
            </w:r>
          </w:p>
        </w:tc>
        <w:tc>
          <w:tcPr>
            <w:tcW w:w="3021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存在问题和风险隐患</w:t>
            </w:r>
          </w:p>
        </w:tc>
        <w:tc>
          <w:tcPr>
            <w:tcW w:w="3833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  <w:t>检查要求</w:t>
            </w:r>
          </w:p>
        </w:tc>
        <w:tc>
          <w:tcPr>
            <w:tcW w:w="5052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  <w:t>防控措施</w:t>
            </w:r>
          </w:p>
        </w:tc>
        <w:tc>
          <w:tcPr>
            <w:tcW w:w="816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83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52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hint="default"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7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落实安全</w:t>
            </w:r>
          </w:p>
          <w:p>
            <w:pPr>
              <w:spacing w:line="300" w:lineRule="exact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</w:rPr>
              <w:t>管理制度</w:t>
            </w:r>
          </w:p>
        </w:tc>
        <w:tc>
          <w:tcPr>
            <w:tcW w:w="3021" w:type="dxa"/>
            <w:vAlign w:val="center"/>
          </w:tcPr>
          <w:p>
            <w:pPr>
              <w:spacing w:line="240" w:lineRule="exact"/>
              <w:ind w:left="315" w:leftChars="0" w:hanging="315" w:hangingChars="15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1．岗位安全责任制、设备运行及检修、交接班、应急预案及现场处置方案等规章制度不健全</w:t>
            </w:r>
          </w:p>
        </w:tc>
        <w:tc>
          <w:tcPr>
            <w:tcW w:w="3833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1．岗位安全责任制、设备运行及检修、交接班、应急预案及现场处置方案等规章制度健全</w:t>
            </w:r>
          </w:p>
        </w:tc>
        <w:tc>
          <w:tcPr>
            <w:tcW w:w="5052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hint="default"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40" w:lineRule="exact"/>
              <w:ind w:left="315" w:leftChars="0" w:hanging="315" w:hangingChars="15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2．未组织开展安全知识、技能培训并组织应急预案的演练</w:t>
            </w:r>
          </w:p>
        </w:tc>
        <w:tc>
          <w:tcPr>
            <w:tcW w:w="3833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2．组织开展安全知识、技能培训并组织应急预案的演练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40" w:lineRule="exact"/>
              <w:ind w:left="315" w:leftChars="0" w:hanging="315" w:hangingChars="15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3．管理和操作人员未经过岗前专业知识和安全技术培训教育，未经考试合格后持证上岗</w:t>
            </w:r>
          </w:p>
        </w:tc>
        <w:tc>
          <w:tcPr>
            <w:tcW w:w="3833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3．运行管理和操作人员经过岗前专业知识和安全技术培训教育，并经考试合格后持证上岗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40" w:lineRule="exact"/>
              <w:ind w:left="315" w:leftChars="0" w:hanging="315" w:hangingChars="15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4．设备运行操作人员配备未满足规定要求，劳动保护用品佩戴不齐备</w:t>
            </w:r>
          </w:p>
        </w:tc>
        <w:tc>
          <w:tcPr>
            <w:tcW w:w="3833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4．设备运行操作人员配备满足规定要求，劳动保护用品佩戴齐备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40" w:lineRule="exact"/>
              <w:ind w:left="315" w:leftChars="0" w:hanging="315" w:hangingChars="15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5．特种作业人员未持有《特种作业人员操作证》</w:t>
            </w:r>
          </w:p>
        </w:tc>
        <w:tc>
          <w:tcPr>
            <w:tcW w:w="3833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5．操作人员等特种作业人员持有《特种作业人员操作证》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40" w:lineRule="exact"/>
              <w:ind w:left="315" w:leftChars="0" w:hanging="315" w:hangingChars="15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6．设备运行未实行机长负责制；每班未做好设备运行、维护保养及记录</w:t>
            </w:r>
          </w:p>
        </w:tc>
        <w:tc>
          <w:tcPr>
            <w:tcW w:w="3833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6．设备运行实行机长负责制；每班做好设备运行、维护保养及记录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40" w:lineRule="exact"/>
              <w:ind w:left="315" w:leftChars="0" w:hanging="315" w:hangingChars="15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7．</w:t>
            </w:r>
            <w:r>
              <w:rPr>
                <w:rFonts w:hint="eastAsia" w:ascii="宋体" w:hAnsi="宋体"/>
                <w:spacing w:val="-6"/>
              </w:rPr>
              <w:t>每班未召开班前会，未开展危险预知活动，未有活动记录</w:t>
            </w:r>
          </w:p>
        </w:tc>
        <w:tc>
          <w:tcPr>
            <w:tcW w:w="3833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7．</w:t>
            </w:r>
            <w:r>
              <w:rPr>
                <w:rFonts w:hint="eastAsia" w:ascii="宋体" w:hAnsi="宋体"/>
                <w:spacing w:val="-4"/>
              </w:rPr>
              <w:t>每班召开班前会，开展危险预知活动，并有活动</w:t>
            </w:r>
            <w:r>
              <w:rPr>
                <w:rFonts w:hint="eastAsia" w:ascii="宋体" w:hAnsi="宋体"/>
              </w:rPr>
              <w:t>记录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40" w:lineRule="exact"/>
              <w:ind w:left="315" w:leftChars="0" w:hanging="315" w:hangingChars="15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8．</w:t>
            </w:r>
            <w:r>
              <w:rPr>
                <w:rFonts w:hint="eastAsia" w:ascii="宋体" w:hAnsi="宋体"/>
                <w:spacing w:val="-6"/>
              </w:rPr>
              <w:t>未</w:t>
            </w:r>
            <w:r>
              <w:rPr>
                <w:rFonts w:hint="eastAsia" w:ascii="宋体" w:hAnsi="宋体"/>
              </w:rPr>
              <w:t>按照规定要求认真执行岗位交接班制度，</w:t>
            </w:r>
            <w:r>
              <w:rPr>
                <w:rFonts w:hint="eastAsia" w:ascii="宋体" w:hAnsi="宋体"/>
                <w:spacing w:val="-6"/>
              </w:rPr>
              <w:t>未</w:t>
            </w:r>
            <w:r>
              <w:rPr>
                <w:rFonts w:hint="eastAsia" w:ascii="宋体" w:hAnsi="宋体"/>
              </w:rPr>
              <w:t>有交接班记录和签字</w:t>
            </w:r>
          </w:p>
        </w:tc>
        <w:tc>
          <w:tcPr>
            <w:tcW w:w="3833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8．按照规定要求认真执行岗位交接班制度，并有交接班记录和签字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40" w:lineRule="exact"/>
              <w:ind w:left="315" w:leftChars="0" w:hanging="315" w:hangingChars="15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9．未按时对设备进行日常、周、月检查及定期检验</w:t>
            </w:r>
          </w:p>
        </w:tc>
        <w:tc>
          <w:tcPr>
            <w:tcW w:w="3833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9．按时对设备进行日常、周、月检查及定期检验。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hint="default"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7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黑体"/>
                <w:lang w:val="en-US" w:eastAsia="zh-CN"/>
              </w:rPr>
              <w:t>气瓶</w:t>
            </w:r>
            <w:bookmarkStart w:id="3" w:name="_GoBack"/>
            <w:bookmarkEnd w:id="3"/>
          </w:p>
        </w:tc>
        <w:tc>
          <w:tcPr>
            <w:tcW w:w="3021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1．钢印和颜色标记</w:t>
            </w:r>
            <w:r>
              <w:rPr>
                <w:rFonts w:hint="eastAsia" w:ascii="宋体" w:hAnsi="宋体"/>
                <w:lang w:val="en-US" w:eastAsia="zh-CN"/>
              </w:rPr>
              <w:t>不</w:t>
            </w:r>
            <w:r>
              <w:rPr>
                <w:rFonts w:hint="eastAsia" w:ascii="宋体" w:hAnsi="宋体"/>
              </w:rPr>
              <w:t>完整、</w:t>
            </w:r>
            <w:r>
              <w:rPr>
                <w:rFonts w:hint="eastAsia" w:ascii="宋体" w:hAnsi="宋体"/>
                <w:lang w:val="en-US" w:eastAsia="zh-CN"/>
              </w:rPr>
              <w:t>不</w:t>
            </w:r>
            <w:r>
              <w:rPr>
                <w:rFonts w:hint="eastAsia" w:ascii="宋体" w:hAnsi="宋体"/>
              </w:rPr>
              <w:t>清晰，</w:t>
            </w:r>
            <w:r>
              <w:rPr>
                <w:rFonts w:hint="eastAsia" w:ascii="宋体" w:hAnsi="宋体"/>
                <w:lang w:val="en-US" w:eastAsia="zh-CN"/>
              </w:rPr>
              <w:t>未</w:t>
            </w:r>
            <w:r>
              <w:rPr>
                <w:rFonts w:hint="eastAsia" w:ascii="宋体" w:hAnsi="宋体"/>
              </w:rPr>
              <w:t>贴有充装后的检验合格证</w:t>
            </w:r>
          </w:p>
        </w:tc>
        <w:tc>
          <w:tcPr>
            <w:tcW w:w="3833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1．钢印和颜色标记完整、清晰，贴有充装后的检验合格证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top"/>
          </w:tcPr>
          <w:p>
            <w:pPr>
              <w:spacing w:line="300" w:lineRule="exact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2．本体</w:t>
            </w:r>
            <w:r>
              <w:rPr>
                <w:rFonts w:hint="eastAsia" w:ascii="宋体" w:hAnsi="宋体"/>
                <w:lang w:val="en-US" w:eastAsia="zh-CN"/>
              </w:rPr>
              <w:t>有</w:t>
            </w:r>
            <w:r>
              <w:rPr>
                <w:rFonts w:hint="eastAsia" w:ascii="宋体" w:hAnsi="宋体"/>
              </w:rPr>
              <w:t>损伤、变形、腐蚀和裂纹</w:t>
            </w:r>
          </w:p>
        </w:tc>
        <w:tc>
          <w:tcPr>
            <w:tcW w:w="3833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2．本体无损伤、变形、腐蚀和裂纹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top"/>
          </w:tcPr>
          <w:p>
            <w:pPr>
              <w:spacing w:line="300" w:lineRule="exact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3</w:t>
            </w:r>
            <w:r>
              <w:rPr>
                <w:rFonts w:hint="eastAsia" w:ascii="宋体" w:hAnsi="宋体"/>
                <w:lang w:val="en-US" w:eastAsia="zh-CN"/>
              </w:rPr>
              <w:t>.</w:t>
            </w:r>
            <w:r>
              <w:rPr>
                <w:rFonts w:hint="eastAsia" w:ascii="宋体" w:hAnsi="宋体"/>
              </w:rPr>
              <w:t>瓶体颜色</w:t>
            </w:r>
            <w:r>
              <w:rPr>
                <w:rFonts w:hint="eastAsia" w:ascii="宋体" w:hAnsi="宋体"/>
                <w:lang w:val="en-US" w:eastAsia="zh-CN"/>
              </w:rPr>
              <w:t>不</w:t>
            </w:r>
            <w:r>
              <w:rPr>
                <w:rFonts w:hint="eastAsia" w:ascii="宋体" w:hAnsi="宋体"/>
              </w:rPr>
              <w:t>符合GB7144-1999的规定，且油漆</w:t>
            </w:r>
            <w:r>
              <w:rPr>
                <w:rFonts w:hint="eastAsia" w:ascii="宋体" w:hAnsi="宋体"/>
                <w:lang w:val="en-US" w:eastAsia="zh-CN"/>
              </w:rPr>
              <w:t>有</w:t>
            </w:r>
            <w:r>
              <w:rPr>
                <w:rFonts w:hint="eastAsia" w:ascii="宋体" w:hAnsi="宋体"/>
              </w:rPr>
              <w:t>脱落</w:t>
            </w:r>
          </w:p>
        </w:tc>
        <w:tc>
          <w:tcPr>
            <w:tcW w:w="3833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3</w:t>
            </w:r>
            <w:r>
              <w:rPr>
                <w:rFonts w:hint="eastAsia" w:ascii="宋体" w:hAnsi="宋体"/>
                <w:lang w:val="en-US" w:eastAsia="zh-CN"/>
              </w:rPr>
              <w:t>.</w:t>
            </w:r>
            <w:r>
              <w:rPr>
                <w:rFonts w:hint="eastAsia" w:ascii="宋体" w:hAnsi="宋体"/>
              </w:rPr>
              <w:t>瓶体颜色是否符合GB7144-1999的规定，且油漆完好无脱落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top"/>
          </w:tcPr>
          <w:p>
            <w:pPr>
              <w:spacing w:line="300" w:lineRule="exact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4．氧气或氧化性气体气瓶或瓶阀上</w:t>
            </w:r>
            <w:r>
              <w:rPr>
                <w:rFonts w:hint="eastAsia" w:ascii="宋体" w:hAnsi="宋体"/>
                <w:lang w:val="en-US" w:eastAsia="zh-CN"/>
              </w:rPr>
              <w:t>有</w:t>
            </w:r>
            <w:r>
              <w:rPr>
                <w:rFonts w:hint="eastAsia" w:ascii="宋体" w:hAnsi="宋体"/>
              </w:rPr>
              <w:t>油脂</w:t>
            </w:r>
          </w:p>
        </w:tc>
        <w:tc>
          <w:tcPr>
            <w:tcW w:w="3833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4．氧气或氧化性气体气瓶或瓶阀上无油脂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top"/>
          </w:tcPr>
          <w:p>
            <w:pPr>
              <w:spacing w:line="300" w:lineRule="exact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5．</w:t>
            </w:r>
            <w:r>
              <w:rPr>
                <w:rFonts w:hint="eastAsia" w:ascii="宋体" w:hAnsi="宋体"/>
                <w:lang w:val="en-US" w:eastAsia="zh-CN"/>
              </w:rPr>
              <w:t>没</w:t>
            </w:r>
            <w:r>
              <w:rPr>
                <w:rFonts w:hint="eastAsia" w:ascii="宋体" w:hAnsi="宋体"/>
              </w:rPr>
              <w:t>有瓶帽、防震圈，且尺寸</w:t>
            </w:r>
            <w:r>
              <w:rPr>
                <w:rFonts w:hint="eastAsia" w:ascii="宋体" w:hAnsi="宋体"/>
                <w:lang w:val="en-US" w:eastAsia="zh-CN"/>
              </w:rPr>
              <w:t>不</w:t>
            </w:r>
            <w:r>
              <w:rPr>
                <w:rFonts w:hint="eastAsia" w:ascii="宋体" w:hAnsi="宋体"/>
              </w:rPr>
              <w:t>符合要求</w:t>
            </w:r>
            <w:r>
              <w:rPr>
                <w:rFonts w:hint="eastAsia" w:ascii="宋体" w:hAnsi="宋体"/>
                <w:lang w:eastAsia="zh-CN"/>
              </w:rPr>
              <w:t>，</w:t>
            </w:r>
            <w:r>
              <w:rPr>
                <w:rFonts w:hint="eastAsia" w:ascii="宋体" w:hAnsi="宋体"/>
                <w:lang w:val="en-US" w:eastAsia="zh-CN"/>
              </w:rPr>
              <w:t>有</w:t>
            </w:r>
            <w:r>
              <w:rPr>
                <w:rFonts w:hint="eastAsia" w:ascii="宋体" w:hAnsi="宋体"/>
              </w:rPr>
              <w:t>损伤</w:t>
            </w:r>
          </w:p>
        </w:tc>
        <w:tc>
          <w:tcPr>
            <w:tcW w:w="3833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5．有瓶帽、防震圈，且尺寸符合要求无损伤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top"/>
          </w:tcPr>
          <w:p>
            <w:pPr>
              <w:spacing w:line="300" w:lineRule="exact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6．底座</w:t>
            </w:r>
            <w:r>
              <w:rPr>
                <w:rFonts w:hint="eastAsia" w:ascii="宋体" w:hAnsi="宋体"/>
                <w:lang w:val="en-US" w:eastAsia="zh-CN"/>
              </w:rPr>
              <w:t>不</w:t>
            </w:r>
            <w:r>
              <w:rPr>
                <w:rFonts w:hint="eastAsia" w:ascii="宋体" w:hAnsi="宋体"/>
              </w:rPr>
              <w:t>平整，</w:t>
            </w:r>
            <w:r>
              <w:rPr>
                <w:rFonts w:hint="eastAsia" w:ascii="宋体" w:hAnsi="宋体"/>
                <w:lang w:val="en-US" w:eastAsia="zh-CN"/>
              </w:rPr>
              <w:t>有</w:t>
            </w:r>
            <w:r>
              <w:rPr>
                <w:rFonts w:hint="eastAsia" w:ascii="宋体" w:hAnsi="宋体"/>
              </w:rPr>
              <w:t>松动现象</w:t>
            </w:r>
          </w:p>
        </w:tc>
        <w:tc>
          <w:tcPr>
            <w:tcW w:w="3833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6．底座平整，无松动现象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top"/>
          </w:tcPr>
          <w:p>
            <w:pPr>
              <w:spacing w:line="300" w:lineRule="exact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7．瓶阀</w:t>
            </w:r>
            <w:r>
              <w:rPr>
                <w:rFonts w:hint="eastAsia" w:ascii="宋体" w:hAnsi="宋体"/>
                <w:lang w:val="en-US" w:eastAsia="zh-CN"/>
              </w:rPr>
              <w:t>有</w:t>
            </w:r>
            <w:r>
              <w:rPr>
                <w:rFonts w:hint="eastAsia" w:ascii="宋体" w:hAnsi="宋体"/>
              </w:rPr>
              <w:t>漏气、阀杆和侧接嘴螺纹</w:t>
            </w:r>
            <w:r>
              <w:rPr>
                <w:rFonts w:hint="eastAsia" w:ascii="宋体" w:hAnsi="宋体"/>
                <w:lang w:val="en-US" w:eastAsia="zh-CN"/>
              </w:rPr>
              <w:t>有</w:t>
            </w:r>
            <w:r>
              <w:rPr>
                <w:rFonts w:hint="eastAsia" w:ascii="宋体" w:hAnsi="宋体"/>
              </w:rPr>
              <w:t>损伤</w:t>
            </w:r>
          </w:p>
        </w:tc>
        <w:tc>
          <w:tcPr>
            <w:tcW w:w="3833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7．瓶阀无漏气、阀杆和侧接嘴螺纹无损伤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top"/>
          </w:tcPr>
          <w:p>
            <w:pPr>
              <w:spacing w:line="300" w:lineRule="exact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8．不同气体气瓶混装，存放数量、距离</w:t>
            </w:r>
            <w:r>
              <w:rPr>
                <w:rFonts w:hint="eastAsia" w:ascii="宋体" w:hAnsi="宋体"/>
                <w:lang w:val="en-US" w:eastAsia="zh-CN"/>
              </w:rPr>
              <w:t>不</w:t>
            </w:r>
            <w:r>
              <w:rPr>
                <w:rFonts w:hint="eastAsia" w:ascii="宋体" w:hAnsi="宋体"/>
              </w:rPr>
              <w:t>符合规定要求，使用时</w:t>
            </w:r>
            <w:r>
              <w:rPr>
                <w:rFonts w:hint="eastAsia" w:ascii="宋体" w:hAnsi="宋体"/>
                <w:lang w:val="en-US" w:eastAsia="zh-CN"/>
              </w:rPr>
              <w:t>未</w:t>
            </w:r>
            <w:r>
              <w:rPr>
                <w:rFonts w:hint="eastAsia" w:ascii="宋体" w:hAnsi="宋体"/>
              </w:rPr>
              <w:t>立放</w:t>
            </w:r>
          </w:p>
        </w:tc>
        <w:tc>
          <w:tcPr>
            <w:tcW w:w="3833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8．不同气体气瓶不混装，存放数量、距离符合规定要求，使用时立放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top"/>
          </w:tcPr>
          <w:p>
            <w:pPr>
              <w:spacing w:line="300" w:lineRule="exact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9．气瓶安放点周围10m范围内有明火或可能产生火花的作业</w:t>
            </w:r>
          </w:p>
        </w:tc>
        <w:tc>
          <w:tcPr>
            <w:tcW w:w="3833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9．气瓶安放点周围10m范围内不应有明火或可能产生火花的作业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top"/>
          </w:tcPr>
          <w:p>
            <w:pPr>
              <w:spacing w:line="300" w:lineRule="exact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10．压力表</w:t>
            </w:r>
            <w:r>
              <w:rPr>
                <w:rFonts w:hint="eastAsia" w:ascii="宋体" w:hAnsi="宋体"/>
                <w:lang w:val="en-US" w:eastAsia="zh-CN"/>
              </w:rPr>
              <w:t>不</w:t>
            </w:r>
            <w:r>
              <w:rPr>
                <w:rFonts w:hint="eastAsia" w:ascii="宋体" w:hAnsi="宋体"/>
              </w:rPr>
              <w:t>完好，显示</w:t>
            </w:r>
            <w:r>
              <w:rPr>
                <w:rFonts w:hint="eastAsia" w:ascii="宋体" w:hAnsi="宋体"/>
                <w:lang w:val="en-US" w:eastAsia="zh-CN"/>
              </w:rPr>
              <w:t>不</w:t>
            </w:r>
            <w:r>
              <w:rPr>
                <w:rFonts w:hint="eastAsia" w:ascii="宋体" w:hAnsi="宋体"/>
              </w:rPr>
              <w:t>准确；</w:t>
            </w:r>
            <w:r>
              <w:rPr>
                <w:rFonts w:hint="eastAsia" w:ascii="宋体" w:hAnsi="宋体"/>
                <w:lang w:val="en-US" w:eastAsia="zh-CN"/>
              </w:rPr>
              <w:t>没</w:t>
            </w:r>
            <w:r>
              <w:rPr>
                <w:rFonts w:hint="eastAsia" w:ascii="宋体" w:hAnsi="宋体"/>
              </w:rPr>
              <w:t>有防倒罐装置</w:t>
            </w:r>
          </w:p>
        </w:tc>
        <w:tc>
          <w:tcPr>
            <w:tcW w:w="3833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10．压力表完好，显示准确；有防倒罐装置，且功能有效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top"/>
          </w:tcPr>
          <w:p>
            <w:pPr>
              <w:spacing w:line="300" w:lineRule="exact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11．搬、运和开启气瓶时</w:t>
            </w:r>
            <w:r>
              <w:rPr>
                <w:rFonts w:hint="eastAsia" w:ascii="宋体" w:hAnsi="宋体"/>
                <w:lang w:val="en-US" w:eastAsia="zh-CN"/>
              </w:rPr>
              <w:t>未</w:t>
            </w:r>
            <w:r>
              <w:rPr>
                <w:rFonts w:hint="eastAsia" w:ascii="宋体" w:hAnsi="宋体"/>
              </w:rPr>
              <w:t>按规定要求操作</w:t>
            </w:r>
          </w:p>
        </w:tc>
        <w:tc>
          <w:tcPr>
            <w:tcW w:w="3833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11．搬、运和开启气瓶时按规定要求操作，不敲击、碰撞气瓶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top"/>
          </w:tcPr>
          <w:p>
            <w:pPr>
              <w:spacing w:line="300" w:lineRule="exact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hint="eastAsia" w:ascii="黑体" w:hAnsi="黑体" w:eastAsia="宋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12．不同气体的管路</w:t>
            </w:r>
            <w:r>
              <w:rPr>
                <w:rFonts w:hint="eastAsia" w:ascii="宋体" w:hAnsi="宋体"/>
                <w:lang w:val="en-US" w:eastAsia="zh-CN"/>
              </w:rPr>
              <w:t>未</w:t>
            </w:r>
            <w:r>
              <w:rPr>
                <w:rFonts w:hint="eastAsia" w:ascii="宋体" w:hAnsi="宋体"/>
              </w:rPr>
              <w:t>以颜色区分</w:t>
            </w:r>
          </w:p>
        </w:tc>
        <w:tc>
          <w:tcPr>
            <w:tcW w:w="3833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12．不同气体的管路以颜色区分，且管路完好无损，接点无泄露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hint="default"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17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</w:rPr>
              <w:t>安全装置/设施/防护</w:t>
            </w:r>
          </w:p>
        </w:tc>
        <w:tc>
          <w:tcPr>
            <w:tcW w:w="3021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1．护栏、隔离墙、扶梯、走台等</w:t>
            </w:r>
            <w:r>
              <w:rPr>
                <w:rFonts w:hint="eastAsia" w:ascii="宋体" w:hAnsi="宋体"/>
                <w:lang w:val="en-US" w:eastAsia="zh-CN"/>
              </w:rPr>
              <w:t>不</w:t>
            </w:r>
            <w:r>
              <w:rPr>
                <w:rFonts w:hint="eastAsia" w:ascii="宋体" w:hAnsi="宋体"/>
              </w:rPr>
              <w:t>符合要求</w:t>
            </w:r>
          </w:p>
        </w:tc>
        <w:tc>
          <w:tcPr>
            <w:tcW w:w="3833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1．护栏、隔离墙、扶梯、走台等符合要求，稳固牢靠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top"/>
          </w:tcPr>
          <w:p>
            <w:pPr>
              <w:spacing w:line="300" w:lineRule="exact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2．安全防护装置运转</w:t>
            </w:r>
            <w:r>
              <w:rPr>
                <w:rFonts w:hint="eastAsia" w:ascii="宋体" w:hAnsi="宋体"/>
                <w:lang w:val="en-US" w:eastAsia="zh-CN"/>
              </w:rPr>
              <w:t>不</w:t>
            </w:r>
            <w:r>
              <w:rPr>
                <w:rFonts w:hint="eastAsia" w:ascii="宋体" w:hAnsi="宋体"/>
              </w:rPr>
              <w:t>正常</w:t>
            </w:r>
          </w:p>
        </w:tc>
        <w:tc>
          <w:tcPr>
            <w:tcW w:w="3833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2．安全防护装置齐全、可靠，运转正常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top"/>
          </w:tcPr>
          <w:p>
            <w:pPr>
              <w:spacing w:line="300" w:lineRule="exact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3．工作区域通风和照明</w:t>
            </w:r>
            <w:r>
              <w:rPr>
                <w:rFonts w:hint="eastAsia" w:ascii="宋体" w:hAnsi="宋体"/>
                <w:lang w:val="en-US" w:eastAsia="zh-CN"/>
              </w:rPr>
              <w:t>不</w:t>
            </w:r>
            <w:r>
              <w:rPr>
                <w:rFonts w:hint="eastAsia" w:ascii="宋体" w:hAnsi="宋体"/>
              </w:rPr>
              <w:t>符合规定要求</w:t>
            </w:r>
          </w:p>
        </w:tc>
        <w:tc>
          <w:tcPr>
            <w:tcW w:w="3833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3．工作区域通风和照明符合规定要求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top"/>
          </w:tcPr>
          <w:p>
            <w:pPr>
              <w:spacing w:line="300" w:lineRule="exact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4．工作或存放环境温度和湿度</w:t>
            </w:r>
            <w:r>
              <w:rPr>
                <w:rFonts w:hint="eastAsia" w:ascii="宋体" w:hAnsi="宋体"/>
                <w:lang w:val="en-US" w:eastAsia="zh-CN"/>
              </w:rPr>
              <w:t>不</w:t>
            </w:r>
            <w:r>
              <w:rPr>
                <w:rFonts w:hint="eastAsia" w:ascii="宋体" w:hAnsi="宋体"/>
              </w:rPr>
              <w:t>符合规范要求</w:t>
            </w:r>
          </w:p>
        </w:tc>
        <w:tc>
          <w:tcPr>
            <w:tcW w:w="3833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4．工作或存放环境温度和湿度符合规范要求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hint="default"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17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</w:rPr>
              <w:t>监督检查与隐患整改</w:t>
            </w:r>
          </w:p>
        </w:tc>
        <w:tc>
          <w:tcPr>
            <w:tcW w:w="3021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1．运行、检修期间</w:t>
            </w:r>
            <w:r>
              <w:rPr>
                <w:rFonts w:hint="eastAsia" w:ascii="宋体" w:hAnsi="宋体"/>
                <w:lang w:val="en-US" w:eastAsia="zh-CN"/>
              </w:rPr>
              <w:t>没</w:t>
            </w:r>
            <w:r>
              <w:rPr>
                <w:rFonts w:hint="eastAsia" w:ascii="宋体" w:hAnsi="宋体"/>
              </w:rPr>
              <w:t>有安全管理人员全过程进行跟踪监督检查</w:t>
            </w:r>
          </w:p>
        </w:tc>
        <w:tc>
          <w:tcPr>
            <w:tcW w:w="3833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1．运行、检修期间有安全管理人员全过程进行跟踪监督检查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top"/>
          </w:tcPr>
          <w:p>
            <w:pPr>
              <w:spacing w:line="300" w:lineRule="exact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2．运行单位（班组）</w:t>
            </w:r>
            <w:r>
              <w:rPr>
                <w:rFonts w:hint="eastAsia" w:ascii="宋体" w:hAnsi="宋体"/>
                <w:lang w:val="en-US" w:eastAsia="zh-CN"/>
              </w:rPr>
              <w:t>没</w:t>
            </w:r>
            <w:r>
              <w:rPr>
                <w:rFonts w:hint="eastAsia" w:ascii="宋体" w:hAnsi="宋体"/>
              </w:rPr>
              <w:t>有安全隐患自查及整改记录，</w:t>
            </w:r>
            <w:r>
              <w:rPr>
                <w:rFonts w:hint="eastAsia" w:ascii="宋体" w:hAnsi="宋体"/>
                <w:lang w:val="en-US" w:eastAsia="zh-CN"/>
              </w:rPr>
              <w:t>未</w:t>
            </w:r>
            <w:r>
              <w:rPr>
                <w:rFonts w:hint="eastAsia" w:ascii="宋体" w:hAnsi="宋体"/>
              </w:rPr>
              <w:t>执行重大隐患报告制度</w:t>
            </w:r>
          </w:p>
        </w:tc>
        <w:tc>
          <w:tcPr>
            <w:tcW w:w="3833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2．运行单位（班组）应有安全隐患自查及整改记录，执行重大隐患报告制度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top"/>
          </w:tcPr>
          <w:p>
            <w:pPr>
              <w:spacing w:line="300" w:lineRule="exact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3．对隐患整改情况</w:t>
            </w:r>
            <w:r>
              <w:rPr>
                <w:rFonts w:hint="eastAsia" w:ascii="宋体" w:hAnsi="宋体"/>
                <w:lang w:val="en-US" w:eastAsia="zh-CN"/>
              </w:rPr>
              <w:t>未</w:t>
            </w:r>
            <w:r>
              <w:rPr>
                <w:rFonts w:hint="eastAsia" w:ascii="宋体" w:hAnsi="宋体"/>
              </w:rPr>
              <w:t>进行复查验证</w:t>
            </w:r>
          </w:p>
        </w:tc>
        <w:tc>
          <w:tcPr>
            <w:tcW w:w="3833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3．对隐患整改情况是否进行复查验证，实现闭合管理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top"/>
          </w:tcPr>
          <w:p>
            <w:pPr>
              <w:spacing w:line="300" w:lineRule="exact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4．</w:t>
            </w:r>
            <w:r>
              <w:rPr>
                <w:rFonts w:hint="eastAsia" w:ascii="宋体" w:hAnsi="宋体"/>
                <w:lang w:val="en-US" w:eastAsia="zh-CN"/>
              </w:rPr>
              <w:t>未</w:t>
            </w:r>
            <w:r>
              <w:rPr>
                <w:rFonts w:hint="eastAsia" w:ascii="宋体" w:hAnsi="宋体"/>
              </w:rPr>
              <w:t>组织对特种设备运行状况进行安全分析评价，制定针对性的纠正预防措施并付诸实施</w:t>
            </w:r>
          </w:p>
        </w:tc>
        <w:tc>
          <w:tcPr>
            <w:tcW w:w="3833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4．组织对特种设备运行状况进行安全分析评价，制定针对性的纠正预防措施并付诸实施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833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52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833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52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</w:tbl>
    <w:p>
      <w:pPr>
        <w:pStyle w:val="10"/>
        <w:rPr>
          <w:color w:val="auto"/>
          <w:sz w:val="24"/>
          <w:szCs w:val="24"/>
        </w:rPr>
      </w:pPr>
    </w:p>
    <w:p/>
    <w:p>
      <w:pPr>
        <w:spacing w:line="320" w:lineRule="exact"/>
        <w:rPr>
          <w:rFonts w:ascii="黑体" w:hAnsi="宋体" w:eastAsia="黑体"/>
        </w:rPr>
      </w:pPr>
      <w:r>
        <w:rPr>
          <w:rFonts w:hint="eastAsia" w:ascii="黑体" w:hAnsi="宋体" w:eastAsia="黑体"/>
        </w:rPr>
        <w:t xml:space="preserve">                   </w:t>
      </w:r>
    </w:p>
    <w:p>
      <w:pPr>
        <w:wordWrap w:val="0"/>
        <w:spacing w:line="300" w:lineRule="exact"/>
        <w:ind w:right="525"/>
        <w:rPr>
          <w:rFonts w:ascii="黑体" w:hAnsi="宋体" w:eastAsia="黑体"/>
          <w:b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1MDY5Mzg3NjQxZmUxYjY2ZGJhMmZmNjBmYjBiOGIifQ=="/>
  </w:docVars>
  <w:rsids>
    <w:rsidRoot w:val="1A696209"/>
    <w:rsid w:val="002448CF"/>
    <w:rsid w:val="008A3A76"/>
    <w:rsid w:val="00DF4B94"/>
    <w:rsid w:val="1A696209"/>
    <w:rsid w:val="4EF21689"/>
    <w:rsid w:val="5AE900E2"/>
    <w:rsid w:val="681E1AEE"/>
    <w:rsid w:val="7CF5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Heading #1|1"/>
    <w:basedOn w:val="1"/>
    <w:qFormat/>
    <w:uiPriority w:val="0"/>
    <w:pPr>
      <w:spacing w:after="360"/>
      <w:jc w:val="center"/>
      <w:outlineLvl w:val="0"/>
    </w:pPr>
    <w:rPr>
      <w:rFonts w:ascii="宋体" w:hAnsi="宋体" w:cs="宋体"/>
      <w:sz w:val="38"/>
      <w:szCs w:val="38"/>
      <w:lang w:val="zh-TW" w:eastAsia="zh-TW" w:bidi="zh-TW"/>
    </w:rPr>
  </w:style>
  <w:style w:type="character" w:customStyle="1" w:styleId="9">
    <w:name w:val="标题 1 字符"/>
    <w:link w:val="2"/>
    <w:qFormat/>
    <w:uiPriority w:val="0"/>
    <w:rPr>
      <w:b/>
      <w:kern w:val="44"/>
      <w:sz w:val="44"/>
    </w:rPr>
  </w:style>
  <w:style w:type="paragraph" w:customStyle="1" w:styleId="10">
    <w:name w:val="Table caption|1"/>
    <w:basedOn w:val="1"/>
    <w:qFormat/>
    <w:uiPriority w:val="0"/>
    <w:pPr>
      <w:spacing w:line="307" w:lineRule="exact"/>
    </w:pPr>
    <w:rPr>
      <w:rFonts w:ascii="宋体" w:hAnsi="宋体" w:cs="宋体"/>
      <w:color w:val="232323"/>
      <w:sz w:val="22"/>
      <w:lang w:val="zh-TW" w:eastAsia="zh-TW" w:bidi="zh-TW"/>
    </w:rPr>
  </w:style>
  <w:style w:type="paragraph" w:customStyle="1" w:styleId="11">
    <w:name w:val="Other|1"/>
    <w:basedOn w:val="1"/>
    <w:qFormat/>
    <w:uiPriority w:val="0"/>
    <w:pPr>
      <w:spacing w:line="456" w:lineRule="auto"/>
      <w:ind w:firstLine="400"/>
    </w:pPr>
    <w:rPr>
      <w:rFonts w:ascii="宋体" w:hAnsi="宋体" w:cs="宋体"/>
      <w:color w:val="232323"/>
      <w:sz w:val="28"/>
      <w:szCs w:val="28"/>
      <w:lang w:val="zh-TW" w:eastAsia="zh-TW" w:bidi="zh-TW"/>
    </w:rPr>
  </w:style>
  <w:style w:type="character" w:customStyle="1" w:styleId="12">
    <w:name w:val="页眉 字符"/>
    <w:basedOn w:val="7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7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海天网络VX9517534</Manager>
  <Company>海天网络VX9517534</Company>
  <Pages>3</Pages>
  <Words>518</Words>
  <Characters>2953</Characters>
  <Lines>24</Lines>
  <Paragraphs>6</Paragraphs>
  <TotalTime>4</TotalTime>
  <ScaleCrop>false</ScaleCrop>
  <LinksUpToDate>false</LinksUpToDate>
  <CharactersWithSpaces>3465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海天网络VX9517534</cp:category>
  <dcterms:created xsi:type="dcterms:W3CDTF">2023-04-15T17:14:00Z</dcterms:created>
  <dc:creator>海天网络VX9517534</dc:creator>
  <dc:description>海天网络VX9517534</dc:description>
  <cp:keywords>海天网络VX9517534</cp:keywords>
  <cp:lastModifiedBy>黎明</cp:lastModifiedBy>
  <dcterms:modified xsi:type="dcterms:W3CDTF">2023-04-15T20:18:10Z</dcterms:modified>
  <dc:subject>海天网络VX9517534</dc:subject>
  <dc:title>海天网络VX9517534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7DA17038DB4244E3A43692DEFB990977_11</vt:lpwstr>
  </property>
</Properties>
</file>