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/>
        <w:keepLines/>
        <w:widowControl/>
        <w:spacing w:after="0" w:line="594" w:lineRule="exact"/>
        <w:rPr>
          <w:rFonts w:ascii="方正小标宋简体" w:hAnsi="方正小标宋简体" w:eastAsia="方正小标宋简体" w:cs="方正小标宋简体"/>
          <w:color w:val="FF0000"/>
          <w:sz w:val="44"/>
          <w:szCs w:val="44"/>
          <w:lang w:val="en-US" w:eastAsia="zh-CN"/>
        </w:rPr>
      </w:pPr>
      <w:bookmarkStart w:id="0" w:name="bookmark30"/>
      <w:bookmarkStart w:id="1" w:name="bookmark32"/>
      <w:bookmarkStart w:id="2" w:name="bookmark3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bookmarkEnd w:id="0"/>
      <w:bookmarkEnd w:id="1"/>
      <w:bookmarkEnd w:id="2"/>
      <w:r>
        <w:rPr>
          <w:rStyle w:val="9"/>
          <w:rFonts w:hint="eastAsia"/>
          <w:lang w:val="en-US" w:eastAsia="zh-CN"/>
        </w:rPr>
        <w:t>大型游乐设施安全</w:t>
      </w:r>
      <w:r>
        <w:rPr>
          <w:rStyle w:val="9"/>
          <w:rFonts w:hint="eastAsia"/>
          <w:lang w:eastAsia="zh-CN"/>
        </w:rPr>
        <w:t>风险防控清单</w:t>
      </w:r>
    </w:p>
    <w:tbl>
      <w:tblPr>
        <w:tblStyle w:val="6"/>
        <w:tblpPr w:leftFromText="180" w:rightFromText="180" w:vertAnchor="text" w:horzAnchor="page" w:tblpX="761" w:tblpY="364"/>
        <w:tblOverlap w:val="never"/>
        <w:tblW w:w="14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1179"/>
        <w:gridCol w:w="3021"/>
        <w:gridCol w:w="3833"/>
        <w:gridCol w:w="5052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3021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存在问题和风险隐患</w:t>
            </w:r>
          </w:p>
        </w:tc>
        <w:tc>
          <w:tcPr>
            <w:tcW w:w="383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检查要求</w:t>
            </w:r>
          </w:p>
        </w:tc>
        <w:tc>
          <w:tcPr>
            <w:tcW w:w="5052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防控措施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落实安全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管理制度</w:t>
            </w: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1．岗位安全责任制、设备运行及检修、交接班、应急预案及现场处置方案等规章制度不健全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1．岗位安全责任制、设备运行及检修、交接班、应急预案及现场处置方案等规章制度健全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2．未组织开展安全知识、技能培训并组织应急预案的演练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2．组织开展安全知识、技能培训并组织应急预案的演练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3．管理和操作人员未经过岗前专业知识和安全技术培训教育，未经考试合格后持证上岗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3．运行管理和操作人员经过岗前专业知识和安全技术培训教育，并经考试合格后持证上岗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定期检查、考核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4．设备运行操作人员配备未满足规定要求，劳动保护用品佩戴不齐备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4．设备运行操作人员配备满足规定要求，劳动保护用品佩戴齐备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5．</w:t>
            </w:r>
            <w:r>
              <w:rPr>
                <w:rFonts w:hint="eastAsia" w:ascii="宋体" w:hAnsi="宋体"/>
                <w:lang w:val="en-US" w:eastAsia="zh-CN"/>
              </w:rPr>
              <w:t>大型游乐设施操作、维修</w:t>
            </w:r>
            <w:bookmarkStart w:id="3" w:name="_GoBack"/>
            <w:bookmarkEnd w:id="3"/>
            <w:r>
              <w:rPr>
                <w:rFonts w:hint="eastAsia" w:ascii="宋体" w:hAnsi="宋体"/>
              </w:rPr>
              <w:t>等特种作业人员未持有《特种作业人员操作证》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5．</w:t>
            </w:r>
            <w:r>
              <w:rPr>
                <w:rFonts w:hint="eastAsia" w:ascii="宋体" w:hAnsi="宋体"/>
                <w:lang w:val="en-US" w:eastAsia="zh-CN"/>
              </w:rPr>
              <w:t>大型游乐设施操作、维修</w:t>
            </w:r>
            <w:r>
              <w:rPr>
                <w:rFonts w:hint="eastAsia" w:ascii="宋体" w:hAnsi="宋体"/>
              </w:rPr>
              <w:t>等特种作业人员持有《特种作业人员操作证》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6．设备运行未实行机长负责制；每班未做好设备运行、维护保养及记录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6．设备运行实行机长负责制；每班做好设备运行、维护保养及记录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7．</w:t>
            </w:r>
            <w:r>
              <w:rPr>
                <w:rFonts w:hint="eastAsia" w:ascii="宋体" w:hAnsi="宋体"/>
                <w:spacing w:val="-6"/>
              </w:rPr>
              <w:t>每班未召开班前会，未开展危险预知活动，未有活动记录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7．</w:t>
            </w:r>
            <w:r>
              <w:rPr>
                <w:rFonts w:hint="eastAsia" w:ascii="宋体" w:hAnsi="宋体"/>
                <w:spacing w:val="-6"/>
              </w:rPr>
              <w:t>每班召开班前会，开展危险预知活动，并有活动记录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8．</w:t>
            </w:r>
            <w:r>
              <w:rPr>
                <w:rFonts w:hint="eastAsia" w:ascii="宋体" w:hAnsi="宋体"/>
                <w:spacing w:val="-6"/>
              </w:rPr>
              <w:t>未</w:t>
            </w:r>
            <w:r>
              <w:rPr>
                <w:rFonts w:hint="eastAsia" w:ascii="宋体" w:hAnsi="宋体"/>
              </w:rPr>
              <w:t>按照规定要求认真执行岗位交接班制度，</w:t>
            </w:r>
            <w:r>
              <w:rPr>
                <w:rFonts w:hint="eastAsia" w:ascii="宋体" w:hAnsi="宋体"/>
                <w:spacing w:val="-6"/>
              </w:rPr>
              <w:t>未</w:t>
            </w:r>
            <w:r>
              <w:rPr>
                <w:rFonts w:hint="eastAsia" w:ascii="宋体" w:hAnsi="宋体"/>
              </w:rPr>
              <w:t>有交接班记录和签字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8．按照规定要求认真执行岗位交接班制度，并有交接班记录和签字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9．未按时对设备进行日常、周、月检查及定期检验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9．按时对设备进行日常、周、月检查及定期检验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</w:tbl>
    <w:p>
      <w:pPr>
        <w:pStyle w:val="10"/>
        <w:rPr>
          <w:color w:val="auto"/>
          <w:sz w:val="24"/>
          <w:szCs w:val="24"/>
        </w:rPr>
      </w:pPr>
    </w:p>
    <w:p/>
    <w:p>
      <w:pPr>
        <w:spacing w:line="320" w:lineRule="exac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 xml:space="preserve">                   </w:t>
      </w:r>
    </w:p>
    <w:p>
      <w:pPr>
        <w:wordWrap w:val="0"/>
        <w:spacing w:line="300" w:lineRule="exact"/>
        <w:ind w:right="525"/>
        <w:rPr>
          <w:rFonts w:ascii="黑体" w:hAnsi="宋体" w:eastAsia="黑体"/>
          <w:b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1A696209"/>
    <w:rsid w:val="002C0FE6"/>
    <w:rsid w:val="00A72656"/>
    <w:rsid w:val="00FF32A3"/>
    <w:rsid w:val="1A696209"/>
    <w:rsid w:val="237E4832"/>
    <w:rsid w:val="681E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Heading #1|1"/>
    <w:basedOn w:val="1"/>
    <w:qFormat/>
    <w:uiPriority w:val="0"/>
    <w:pPr>
      <w:spacing w:after="360"/>
      <w:jc w:val="center"/>
      <w:outlineLvl w:val="0"/>
    </w:pPr>
    <w:rPr>
      <w:rFonts w:ascii="宋体" w:hAnsi="宋体" w:cs="宋体"/>
      <w:sz w:val="38"/>
      <w:szCs w:val="38"/>
      <w:lang w:val="zh-TW" w:eastAsia="zh-TW" w:bidi="zh-TW"/>
    </w:rPr>
  </w:style>
  <w:style w:type="character" w:customStyle="1" w:styleId="9">
    <w:name w:val="标题 1 字符"/>
    <w:link w:val="2"/>
    <w:uiPriority w:val="0"/>
    <w:rPr>
      <w:b/>
      <w:kern w:val="44"/>
      <w:sz w:val="44"/>
    </w:rPr>
  </w:style>
  <w:style w:type="paragraph" w:customStyle="1" w:styleId="10">
    <w:name w:val="Table caption|1"/>
    <w:basedOn w:val="1"/>
    <w:qFormat/>
    <w:uiPriority w:val="0"/>
    <w:pPr>
      <w:spacing w:line="307" w:lineRule="exact"/>
    </w:pPr>
    <w:rPr>
      <w:rFonts w:ascii="宋体" w:hAnsi="宋体" w:cs="宋体"/>
      <w:color w:val="232323"/>
      <w:sz w:val="22"/>
      <w:lang w:val="zh-TW" w:eastAsia="zh-TW" w:bidi="zh-TW"/>
    </w:rPr>
  </w:style>
  <w:style w:type="paragraph" w:customStyle="1" w:styleId="11">
    <w:name w:val="Other|1"/>
    <w:basedOn w:val="1"/>
    <w:qFormat/>
    <w:uiPriority w:val="0"/>
    <w:pPr>
      <w:spacing w:line="456" w:lineRule="auto"/>
      <w:ind w:firstLine="400"/>
    </w:pPr>
    <w:rPr>
      <w:rFonts w:ascii="宋体" w:hAnsi="宋体" w:cs="宋体"/>
      <w:color w:val="232323"/>
      <w:sz w:val="28"/>
      <w:szCs w:val="28"/>
      <w:lang w:val="zh-TW" w:eastAsia="zh-TW" w:bidi="zh-TW"/>
    </w:rPr>
  </w:style>
  <w:style w:type="character" w:customStyle="1" w:styleId="12">
    <w:name w:val="页眉 字符"/>
    <w:basedOn w:val="7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3</Pages>
  <Words>537</Words>
  <Characters>3066</Characters>
  <Lines>25</Lines>
  <Paragraphs>7</Paragraphs>
  <TotalTime>1</TotalTime>
  <ScaleCrop>false</ScaleCrop>
  <LinksUpToDate>false</LinksUpToDate>
  <CharactersWithSpaces>3596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2023-04-15T18:03:00Z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2023-04-19T12:02:15Z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7DA17038DB4244E3A43692DEFB990977_11</vt:lpwstr>
  </property>
</Properties>
</file>